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5B" w:rsidRPr="0055141C" w:rsidRDefault="00AE0A5B" w:rsidP="00AE0A5B">
      <w:pPr>
        <w:spacing w:after="200" w:line="276" w:lineRule="auto"/>
        <w:rPr>
          <w:rFonts w:eastAsiaTheme="minorHAnsi" w:cs="Arial"/>
          <w:b/>
          <w:color w:val="auto"/>
          <w:sz w:val="22"/>
          <w:szCs w:val="22"/>
          <w:lang w:eastAsia="en-US"/>
        </w:rPr>
      </w:pPr>
      <w:r w:rsidRPr="0055141C">
        <w:rPr>
          <w:rFonts w:eastAsiaTheme="minorHAnsi" w:cs="Arial"/>
          <w:b/>
          <w:color w:val="auto"/>
          <w:sz w:val="22"/>
          <w:szCs w:val="22"/>
          <w:lang w:eastAsia="en-US"/>
        </w:rPr>
        <w:t xml:space="preserve">Appendix </w:t>
      </w:r>
      <w:r>
        <w:rPr>
          <w:rFonts w:eastAsiaTheme="minorHAnsi" w:cs="Arial"/>
          <w:b/>
          <w:color w:val="auto"/>
          <w:sz w:val="22"/>
          <w:szCs w:val="22"/>
          <w:lang w:eastAsia="en-US"/>
        </w:rPr>
        <w:t>Two</w:t>
      </w:r>
      <w:r w:rsidRPr="0055141C">
        <w:rPr>
          <w:rFonts w:eastAsiaTheme="minorHAnsi" w:cs="Arial"/>
          <w:b/>
          <w:color w:val="auto"/>
          <w:sz w:val="22"/>
          <w:szCs w:val="22"/>
          <w:lang w:eastAsia="en-US"/>
        </w:rPr>
        <w:t xml:space="preserve"> – Description of Projects</w:t>
      </w:r>
    </w:p>
    <w:p w:rsidR="00AE0A5B" w:rsidRPr="0055141C" w:rsidRDefault="00AE0A5B" w:rsidP="00AE0A5B">
      <w:pPr>
        <w:spacing w:after="200" w:line="276" w:lineRule="auto"/>
        <w:rPr>
          <w:rFonts w:eastAsiaTheme="minorHAnsi" w:cs="Arial"/>
          <w:color w:val="auto"/>
          <w:sz w:val="22"/>
          <w:szCs w:val="22"/>
          <w:lang w:eastAsia="en-US"/>
        </w:rPr>
      </w:pPr>
      <w:r w:rsidRPr="0055141C">
        <w:rPr>
          <w:rFonts w:eastAsiaTheme="minorHAnsi" w:cs="Arial"/>
          <w:noProof/>
          <w:color w:val="auto"/>
          <w:sz w:val="22"/>
          <w:szCs w:val="22"/>
        </w:rPr>
        <w:drawing>
          <wp:inline distT="0" distB="0" distL="0" distR="0" wp14:anchorId="5C169F59" wp14:editId="6AEC0141">
            <wp:extent cx="5731510" cy="530910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309101"/>
                    </a:xfrm>
                    <a:prstGeom prst="rect">
                      <a:avLst/>
                    </a:prstGeom>
                    <a:noFill/>
                    <a:ln>
                      <a:noFill/>
                    </a:ln>
                  </pic:spPr>
                </pic:pic>
              </a:graphicData>
            </a:graphic>
          </wp:inline>
        </w:drawing>
      </w: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b/>
          <w:color w:val="auto"/>
          <w:sz w:val="22"/>
          <w:szCs w:val="22"/>
          <w:lang w:eastAsia="en-US"/>
        </w:rPr>
        <w:t>Ark-T – Our Voice is Our Power</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 xml:space="preserve">‘Our Voice is Our Power’ is a creative learning programme for vulnerable and disadvantaged adults who are furthest from the workplace. The project is based at the Ark -T arts and community centre in </w:t>
      </w:r>
      <w:proofErr w:type="spellStart"/>
      <w:r w:rsidRPr="0055141C">
        <w:rPr>
          <w:rFonts w:eastAsiaTheme="minorHAnsi" w:cs="Arial"/>
          <w:color w:val="auto"/>
          <w:sz w:val="22"/>
          <w:szCs w:val="22"/>
          <w:lang w:eastAsia="en-US"/>
        </w:rPr>
        <w:t>Cowley</w:t>
      </w:r>
      <w:proofErr w:type="spellEnd"/>
      <w:r w:rsidRPr="0055141C">
        <w:rPr>
          <w:rFonts w:eastAsiaTheme="minorHAnsi" w:cs="Arial"/>
          <w:color w:val="auto"/>
          <w:sz w:val="22"/>
          <w:szCs w:val="22"/>
          <w:lang w:eastAsia="en-US"/>
        </w:rPr>
        <w:t xml:space="preserve">, East Oxford. Participants attend regular sessions with a tutor and editor and work together as a team to research, write, and distribute a quarterly edition of a community newspaper, The </w:t>
      </w:r>
      <w:proofErr w:type="spellStart"/>
      <w:r w:rsidRPr="0055141C">
        <w:rPr>
          <w:rFonts w:eastAsiaTheme="minorHAnsi" w:cs="Arial"/>
          <w:color w:val="auto"/>
          <w:sz w:val="22"/>
          <w:szCs w:val="22"/>
          <w:lang w:eastAsia="en-US"/>
        </w:rPr>
        <w:t>Cowley</w:t>
      </w:r>
      <w:proofErr w:type="spellEnd"/>
      <w:r w:rsidRPr="0055141C">
        <w:rPr>
          <w:rFonts w:eastAsiaTheme="minorHAnsi" w:cs="Arial"/>
          <w:color w:val="auto"/>
          <w:sz w:val="22"/>
          <w:szCs w:val="22"/>
          <w:lang w:eastAsia="en-US"/>
        </w:rPr>
        <w:t xml:space="preserve"> News.</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b/>
          <w:color w:val="auto"/>
          <w:sz w:val="22"/>
          <w:szCs w:val="22"/>
          <w:lang w:eastAsia="en-US"/>
        </w:rPr>
        <w:t>Aspire - Enabling pathways to employment for refugees and ESOL learners</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Aspire in partnership with EMBS, Asylum Welcome and WEA have been co-funded to provide English language support to refugees and people from BAME backgrounds, and then to support participants into training or employment pathways.</w:t>
      </w:r>
    </w:p>
    <w:p w:rsidR="00AE0A5B" w:rsidRPr="0055141C" w:rsidRDefault="00AE0A5B" w:rsidP="00AE0A5B">
      <w:pPr>
        <w:spacing w:after="0"/>
        <w:rPr>
          <w:rFonts w:eastAsiaTheme="minorHAnsi" w:cs="Arial"/>
          <w:color w:val="auto"/>
          <w:sz w:val="22"/>
          <w:szCs w:val="22"/>
          <w:lang w:eastAsia="en-US"/>
        </w:rPr>
      </w:pPr>
      <w:proofErr w:type="spellStart"/>
      <w:r w:rsidRPr="0055141C">
        <w:rPr>
          <w:rFonts w:eastAsiaTheme="minorHAnsi" w:cs="Arial"/>
          <w:color w:val="auto"/>
          <w:sz w:val="22"/>
          <w:szCs w:val="22"/>
          <w:lang w:eastAsia="en-US"/>
        </w:rPr>
        <w:t>Aspire’s</w:t>
      </w:r>
      <w:proofErr w:type="spellEnd"/>
      <w:r w:rsidRPr="0055141C">
        <w:rPr>
          <w:rFonts w:eastAsiaTheme="minorHAnsi" w:cs="Arial"/>
          <w:color w:val="auto"/>
          <w:sz w:val="22"/>
          <w:szCs w:val="22"/>
          <w:lang w:eastAsia="en-US"/>
        </w:rPr>
        <w:t xml:space="preserve"> role is to support individuals into work by helping them create personal employability development plans, and to engage employers to encourage them to offer placements and full time work to work-ready refugees and ESOL(English as a second or other language) learners.</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b/>
          <w:color w:val="auto"/>
          <w:sz w:val="22"/>
          <w:szCs w:val="22"/>
          <w:lang w:eastAsia="en-US"/>
        </w:rPr>
        <w:t>Asylum Welcome - Enabling pathways to employment for refugees and ESOL learners</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 xml:space="preserve">Asylum Welcome’s role in this project is to use their employment support coach to increase awareness of job &amp; volunteering opportunities &amp; support participants with job search skills, </w:t>
      </w:r>
      <w:r w:rsidRPr="0055141C">
        <w:rPr>
          <w:rFonts w:eastAsiaTheme="minorHAnsi" w:cs="Arial"/>
          <w:color w:val="auto"/>
          <w:sz w:val="22"/>
          <w:szCs w:val="22"/>
          <w:lang w:eastAsia="en-US"/>
        </w:rPr>
        <w:lastRenderedPageBreak/>
        <w:t>CVs, interviews, and to find and sustain appropriate volunteering/work placements, training or jobs. This includes supporting refugees and ESOL learners to match their skills and experience to more appropriate work or find accreditation/recognition for existing skills/qualifications.</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b/>
          <w:color w:val="auto"/>
          <w:sz w:val="22"/>
          <w:szCs w:val="22"/>
          <w:lang w:eastAsia="en-US"/>
        </w:rPr>
        <w:t>EMBS - Enabling pathways to employment for refugees and ESOL learners</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 xml:space="preserve">EMBS’s role in this project is to engage learners from BAME and refugee backgrounds who have pre-entry ESOL needs. This is achieved through targeted outreach and referrals from </w:t>
      </w:r>
      <w:proofErr w:type="gramStart"/>
      <w:r w:rsidRPr="0055141C">
        <w:rPr>
          <w:rFonts w:eastAsiaTheme="minorHAnsi" w:cs="Arial"/>
          <w:color w:val="auto"/>
          <w:sz w:val="22"/>
          <w:szCs w:val="22"/>
          <w:lang w:eastAsia="en-US"/>
        </w:rPr>
        <w:t>partners,</w:t>
      </w:r>
      <w:proofErr w:type="gramEnd"/>
      <w:r w:rsidRPr="0055141C">
        <w:rPr>
          <w:rFonts w:eastAsiaTheme="minorHAnsi" w:cs="Arial"/>
          <w:color w:val="auto"/>
          <w:sz w:val="22"/>
          <w:szCs w:val="22"/>
          <w:lang w:eastAsia="en-US"/>
        </w:rPr>
        <w:t xml:space="preserve"> support with childcare and travel costs and accessible venues. </w:t>
      </w:r>
      <w:proofErr w:type="spellStart"/>
      <w:r w:rsidRPr="0055141C">
        <w:rPr>
          <w:rFonts w:eastAsiaTheme="minorHAnsi" w:cs="Arial"/>
          <w:color w:val="auto"/>
          <w:sz w:val="22"/>
          <w:szCs w:val="22"/>
          <w:lang w:eastAsia="en-US"/>
        </w:rPr>
        <w:t>Particpants</w:t>
      </w:r>
      <w:proofErr w:type="spellEnd"/>
      <w:r w:rsidRPr="0055141C">
        <w:rPr>
          <w:rFonts w:eastAsiaTheme="minorHAnsi" w:cs="Arial"/>
          <w:color w:val="auto"/>
          <w:sz w:val="22"/>
          <w:szCs w:val="22"/>
          <w:lang w:eastAsia="en-US"/>
        </w:rPr>
        <w:t xml:space="preserve"> are supported to improve their English Language skills of those at pre-entry level, to build confidence and enable them to progress to funded higher level ESOL or other education provision.</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b/>
          <w:color w:val="auto"/>
          <w:sz w:val="22"/>
          <w:szCs w:val="22"/>
          <w:lang w:eastAsia="en-US"/>
        </w:rPr>
        <w:t>WEA – Enabling pathways to employment for refugees and ESOL learners</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WEA have a similar role to EMBS in this project. They are running pre-entry ESOL classes varying from 4 to 8 hours per week to meet different needs. Classes will include embedded employability skills, including numeracy and IT and will support learners to progress.</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b/>
          <w:color w:val="auto"/>
          <w:sz w:val="22"/>
          <w:szCs w:val="22"/>
          <w:lang w:eastAsia="en-US"/>
        </w:rPr>
        <w:t>EMBS &amp; Partners – Take 2</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 xml:space="preserve">EMBS are working with a range of partners to engage young people not in education, employment or training, in order to raise educational and employment aspirations and put them on appropriate pathways. Engagement activities include opportunities in creative arts, music, film, radio, photography woodwork, retail, </w:t>
      </w:r>
      <w:proofErr w:type="gramStart"/>
      <w:r w:rsidRPr="0055141C">
        <w:rPr>
          <w:rFonts w:eastAsiaTheme="minorHAnsi" w:cs="Arial"/>
          <w:color w:val="auto"/>
          <w:sz w:val="22"/>
          <w:szCs w:val="22"/>
          <w:lang w:eastAsia="en-US"/>
        </w:rPr>
        <w:t>upcycling</w:t>
      </w:r>
      <w:proofErr w:type="gramEnd"/>
      <w:r w:rsidRPr="0055141C">
        <w:rPr>
          <w:rFonts w:eastAsiaTheme="minorHAnsi" w:cs="Arial"/>
          <w:color w:val="auto"/>
          <w:sz w:val="22"/>
          <w:szCs w:val="22"/>
          <w:lang w:eastAsia="en-US"/>
        </w:rPr>
        <w:t xml:space="preserve"> and community projects.</w:t>
      </w:r>
    </w:p>
    <w:p w:rsidR="00AE0A5B" w:rsidRPr="0055141C" w:rsidRDefault="00AE0A5B" w:rsidP="00AE0A5B">
      <w:pPr>
        <w:spacing w:after="0"/>
        <w:rPr>
          <w:rFonts w:eastAsiaTheme="minorHAnsi" w:cs="Arial"/>
          <w:b/>
          <w:color w:val="auto"/>
          <w:sz w:val="22"/>
          <w:szCs w:val="22"/>
          <w:lang w:eastAsia="en-US"/>
        </w:rPr>
      </w:pPr>
    </w:p>
    <w:p w:rsidR="00AE0A5B" w:rsidRPr="0055141C" w:rsidRDefault="00AE0A5B" w:rsidP="00AE0A5B">
      <w:pPr>
        <w:spacing w:after="0"/>
        <w:rPr>
          <w:rFonts w:eastAsiaTheme="minorHAnsi" w:cs="Arial"/>
          <w:b/>
          <w:color w:val="auto"/>
          <w:sz w:val="22"/>
          <w:szCs w:val="22"/>
          <w:lang w:eastAsia="en-US"/>
        </w:rPr>
      </w:pPr>
      <w:proofErr w:type="spellStart"/>
      <w:r w:rsidRPr="0055141C">
        <w:rPr>
          <w:rFonts w:eastAsiaTheme="minorHAnsi" w:cs="Arial"/>
          <w:b/>
          <w:color w:val="auto"/>
          <w:sz w:val="22"/>
          <w:szCs w:val="22"/>
          <w:lang w:eastAsia="en-US"/>
        </w:rPr>
        <w:t>Farmability</w:t>
      </w:r>
      <w:proofErr w:type="spellEnd"/>
      <w:r w:rsidRPr="0055141C">
        <w:rPr>
          <w:rFonts w:eastAsiaTheme="minorHAnsi" w:cs="Arial"/>
          <w:b/>
          <w:color w:val="auto"/>
          <w:sz w:val="22"/>
          <w:szCs w:val="22"/>
          <w:lang w:eastAsia="en-US"/>
        </w:rPr>
        <w:t xml:space="preserve"> – Doing, Belonging, Becoming</w:t>
      </w:r>
    </w:p>
    <w:p w:rsidR="00AE0A5B" w:rsidRPr="0055141C" w:rsidRDefault="00AE0A5B" w:rsidP="00AE0A5B">
      <w:pPr>
        <w:spacing w:after="0"/>
        <w:rPr>
          <w:rFonts w:eastAsiaTheme="minorHAnsi" w:cs="Arial"/>
          <w:color w:val="auto"/>
          <w:sz w:val="22"/>
          <w:szCs w:val="22"/>
          <w:lang w:eastAsia="en-US"/>
        </w:rPr>
      </w:pPr>
      <w:proofErr w:type="spellStart"/>
      <w:r w:rsidRPr="0055141C">
        <w:rPr>
          <w:rFonts w:eastAsiaTheme="minorHAnsi" w:cs="Arial"/>
          <w:color w:val="auto"/>
          <w:sz w:val="22"/>
          <w:szCs w:val="22"/>
          <w:lang w:eastAsia="en-US"/>
        </w:rPr>
        <w:t>Farmability</w:t>
      </w:r>
      <w:proofErr w:type="spellEnd"/>
      <w:r w:rsidRPr="0055141C">
        <w:rPr>
          <w:rFonts w:eastAsiaTheme="minorHAnsi" w:cs="Arial"/>
          <w:color w:val="auto"/>
          <w:sz w:val="22"/>
          <w:szCs w:val="22"/>
          <w:lang w:eastAsia="en-US"/>
        </w:rPr>
        <w:t xml:space="preserve"> helps young people (16-25) with ASD and/or moderate to severe learning disabilities to make a successful transition to active adulthood, with a purposeful connection to the local community, living as independently as possible, functioning effectively in a meaningful environment, and with some clear aspirations for their future.</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Their project encourages school students and young people with ASD and/or learning disabilities to challenge themselves through participation in a programme of outdoor, purposeful activities in farming and horticulture.  While learning new skills, building confidence and improving health and wellbeing, participants will prepare to find a meaningful occupation that matches their abilities and potential.</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b/>
          <w:color w:val="auto"/>
          <w:sz w:val="22"/>
          <w:szCs w:val="22"/>
          <w:lang w:eastAsia="en-US"/>
        </w:rPr>
        <w:t xml:space="preserve">Film Oxford &amp; Fusion Arts – </w:t>
      </w:r>
      <w:proofErr w:type="spellStart"/>
      <w:r w:rsidRPr="0055141C">
        <w:rPr>
          <w:rFonts w:eastAsiaTheme="minorHAnsi" w:cs="Arial"/>
          <w:b/>
          <w:color w:val="auto"/>
          <w:sz w:val="22"/>
          <w:szCs w:val="22"/>
          <w:lang w:eastAsia="en-US"/>
        </w:rPr>
        <w:t>iCreative</w:t>
      </w:r>
      <w:proofErr w:type="spellEnd"/>
    </w:p>
    <w:p w:rsidR="00AE0A5B" w:rsidRPr="0055141C" w:rsidRDefault="00AE0A5B" w:rsidP="00AE0A5B">
      <w:pPr>
        <w:spacing w:after="0"/>
        <w:rPr>
          <w:rFonts w:eastAsiaTheme="minorHAnsi" w:cs="Arial"/>
          <w:color w:val="auto"/>
          <w:sz w:val="22"/>
          <w:szCs w:val="22"/>
          <w:lang w:eastAsia="en-US"/>
        </w:rPr>
      </w:pPr>
      <w:proofErr w:type="spellStart"/>
      <w:proofErr w:type="gramStart"/>
      <w:r w:rsidRPr="0055141C">
        <w:rPr>
          <w:rFonts w:eastAsiaTheme="minorHAnsi" w:cs="Arial"/>
          <w:color w:val="auto"/>
          <w:sz w:val="22"/>
          <w:szCs w:val="22"/>
          <w:lang w:eastAsia="en-US"/>
        </w:rPr>
        <w:t>iCreative</w:t>
      </w:r>
      <w:proofErr w:type="spellEnd"/>
      <w:proofErr w:type="gramEnd"/>
      <w:r w:rsidRPr="0055141C">
        <w:rPr>
          <w:rFonts w:eastAsiaTheme="minorHAnsi" w:cs="Arial"/>
          <w:color w:val="auto"/>
          <w:sz w:val="22"/>
          <w:szCs w:val="22"/>
          <w:lang w:eastAsia="en-US"/>
        </w:rPr>
        <w:t xml:space="preserve"> is an innovative programme of training, production and mentoring for disadvantaged or excluded young people (16 -24) looking to work in the local Creative industries. There are 3 key stages:</w:t>
      </w:r>
    </w:p>
    <w:p w:rsidR="00AE0A5B" w:rsidRPr="0055141C" w:rsidRDefault="00AE0A5B" w:rsidP="00AE0A5B">
      <w:pPr>
        <w:numPr>
          <w:ilvl w:val="0"/>
          <w:numId w:val="1"/>
        </w:numPr>
        <w:spacing w:after="0" w:line="276" w:lineRule="auto"/>
        <w:rPr>
          <w:rFonts w:eastAsiaTheme="minorHAnsi" w:cs="Arial"/>
          <w:color w:val="auto"/>
          <w:sz w:val="22"/>
          <w:szCs w:val="22"/>
          <w:lang w:eastAsia="en-US"/>
        </w:rPr>
      </w:pPr>
      <w:r w:rsidRPr="0055141C">
        <w:rPr>
          <w:rFonts w:eastAsiaTheme="minorHAnsi" w:cs="Arial"/>
          <w:color w:val="auto"/>
          <w:sz w:val="22"/>
          <w:szCs w:val="22"/>
          <w:lang w:eastAsia="en-US"/>
        </w:rPr>
        <w:t xml:space="preserve">Website - building the </w:t>
      </w:r>
      <w:proofErr w:type="spellStart"/>
      <w:r w:rsidRPr="0055141C">
        <w:rPr>
          <w:rFonts w:eastAsiaTheme="minorHAnsi" w:cs="Arial"/>
          <w:color w:val="auto"/>
          <w:sz w:val="22"/>
          <w:szCs w:val="22"/>
          <w:lang w:eastAsia="en-US"/>
        </w:rPr>
        <w:t>i</w:t>
      </w:r>
      <w:proofErr w:type="spellEnd"/>
      <w:r w:rsidRPr="0055141C">
        <w:rPr>
          <w:rFonts w:eastAsiaTheme="minorHAnsi" w:cs="Arial"/>
          <w:color w:val="auto"/>
          <w:sz w:val="22"/>
          <w:szCs w:val="22"/>
          <w:lang w:eastAsia="en-US"/>
        </w:rPr>
        <w:t>–Creative portal/website of information on local training and work opportunities in the Creative Industries</w:t>
      </w:r>
    </w:p>
    <w:p w:rsidR="00AE0A5B" w:rsidRPr="0055141C" w:rsidRDefault="00AE0A5B" w:rsidP="00AE0A5B">
      <w:pPr>
        <w:numPr>
          <w:ilvl w:val="0"/>
          <w:numId w:val="1"/>
        </w:numPr>
        <w:spacing w:after="0" w:line="276" w:lineRule="auto"/>
        <w:rPr>
          <w:rFonts w:eastAsiaTheme="minorHAnsi" w:cs="Arial"/>
          <w:color w:val="auto"/>
          <w:sz w:val="22"/>
          <w:szCs w:val="22"/>
          <w:lang w:eastAsia="en-US"/>
        </w:rPr>
      </w:pPr>
      <w:r w:rsidRPr="0055141C">
        <w:rPr>
          <w:rFonts w:eastAsiaTheme="minorHAnsi" w:cs="Arial"/>
          <w:color w:val="auto"/>
          <w:sz w:val="22"/>
          <w:szCs w:val="22"/>
          <w:lang w:eastAsia="en-US"/>
        </w:rPr>
        <w:t>Training - Running a 10 day pilot programme of training and production for 20 young people  - contributing to Oxford City Council Christmas Light Festival 2017</w:t>
      </w:r>
    </w:p>
    <w:p w:rsidR="00AE0A5B" w:rsidRPr="0055141C" w:rsidRDefault="00AE0A5B" w:rsidP="00AE0A5B">
      <w:pPr>
        <w:numPr>
          <w:ilvl w:val="0"/>
          <w:numId w:val="1"/>
        </w:numPr>
        <w:spacing w:after="0" w:line="276" w:lineRule="auto"/>
        <w:rPr>
          <w:rFonts w:eastAsiaTheme="minorHAnsi" w:cs="Arial"/>
          <w:color w:val="auto"/>
          <w:sz w:val="22"/>
          <w:szCs w:val="22"/>
          <w:lang w:eastAsia="en-US"/>
        </w:rPr>
      </w:pPr>
      <w:r w:rsidRPr="0055141C">
        <w:rPr>
          <w:rFonts w:eastAsiaTheme="minorHAnsi" w:cs="Arial"/>
          <w:color w:val="auto"/>
          <w:sz w:val="22"/>
          <w:szCs w:val="22"/>
          <w:lang w:eastAsia="en-US"/>
        </w:rPr>
        <w:t>Mentoring – a six month period of support on personal pathways into further training or work.</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b/>
          <w:color w:val="auto"/>
          <w:sz w:val="22"/>
          <w:szCs w:val="22"/>
          <w:lang w:eastAsia="en-US"/>
        </w:rPr>
        <w:t xml:space="preserve">Film Oxford &amp; Fusion Arts – </w:t>
      </w:r>
      <w:proofErr w:type="spellStart"/>
      <w:r w:rsidRPr="0055141C">
        <w:rPr>
          <w:rFonts w:eastAsiaTheme="minorHAnsi" w:cs="Arial"/>
          <w:b/>
          <w:color w:val="auto"/>
          <w:sz w:val="22"/>
          <w:szCs w:val="22"/>
          <w:lang w:eastAsia="en-US"/>
        </w:rPr>
        <w:t>iCreative</w:t>
      </w:r>
      <w:proofErr w:type="spellEnd"/>
      <w:r w:rsidRPr="0055141C">
        <w:rPr>
          <w:rFonts w:eastAsiaTheme="minorHAnsi" w:cs="Arial"/>
          <w:b/>
          <w:color w:val="auto"/>
          <w:sz w:val="22"/>
          <w:szCs w:val="22"/>
          <w:lang w:eastAsia="en-US"/>
        </w:rPr>
        <w:t xml:space="preserve"> 3: Common People</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 xml:space="preserve">Following the successful completion of the first </w:t>
      </w:r>
      <w:proofErr w:type="spellStart"/>
      <w:r w:rsidRPr="0055141C">
        <w:rPr>
          <w:rFonts w:eastAsiaTheme="minorHAnsi" w:cs="Arial"/>
          <w:color w:val="auto"/>
          <w:sz w:val="22"/>
          <w:szCs w:val="22"/>
          <w:lang w:eastAsia="en-US"/>
        </w:rPr>
        <w:t>i</w:t>
      </w:r>
      <w:proofErr w:type="spellEnd"/>
      <w:r w:rsidRPr="0055141C">
        <w:rPr>
          <w:rFonts w:eastAsiaTheme="minorHAnsi" w:cs="Arial"/>
          <w:color w:val="auto"/>
          <w:sz w:val="22"/>
          <w:szCs w:val="22"/>
          <w:lang w:eastAsia="en-US"/>
        </w:rPr>
        <w:t xml:space="preserve">-Creative project, Film Oxford successfully bid for a second project in the programme’s third funding call. This new project engages with young asylum seekers, refugees, migrants and those who have disengaged from education. </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 xml:space="preserve">This programme will offer 10 days of training with industry professionals leading up to the planning, co-ordination, promotion and running of the </w:t>
      </w:r>
      <w:proofErr w:type="spellStart"/>
      <w:r w:rsidRPr="0055141C">
        <w:rPr>
          <w:rFonts w:eastAsiaTheme="minorHAnsi" w:cs="Arial"/>
          <w:color w:val="auto"/>
          <w:sz w:val="22"/>
          <w:szCs w:val="22"/>
          <w:lang w:eastAsia="en-US"/>
        </w:rPr>
        <w:t>iCreative</w:t>
      </w:r>
      <w:proofErr w:type="spellEnd"/>
      <w:r w:rsidRPr="0055141C">
        <w:rPr>
          <w:rFonts w:eastAsiaTheme="minorHAnsi" w:cs="Arial"/>
          <w:color w:val="auto"/>
          <w:sz w:val="22"/>
          <w:szCs w:val="22"/>
          <w:lang w:eastAsia="en-US"/>
        </w:rPr>
        <w:t xml:space="preserve"> Stage at the Oxford City Council supported Common People festival at the end of May 2018.</w:t>
      </w:r>
    </w:p>
    <w:p w:rsidR="00AE0A5B" w:rsidRPr="0055141C" w:rsidRDefault="00AE0A5B" w:rsidP="00AE0A5B">
      <w:pPr>
        <w:spacing w:after="0"/>
        <w:rPr>
          <w:rFonts w:eastAsiaTheme="minorHAnsi" w:cs="Arial"/>
          <w:b/>
          <w:color w:val="auto"/>
          <w:sz w:val="22"/>
          <w:szCs w:val="22"/>
          <w:lang w:eastAsia="en-US"/>
        </w:rPr>
      </w:pP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b/>
          <w:color w:val="auto"/>
          <w:sz w:val="22"/>
          <w:szCs w:val="22"/>
          <w:lang w:eastAsia="en-US"/>
        </w:rPr>
        <w:t>Incredible Edible Oxford</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 xml:space="preserve">Incredible Edible has developed an innovative programme of skills training and volunteering which will enable economically excluded people to access the expanding green jobs market. </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The programme focuses on delivering practical horticultural, agro-ecology and eco-building skills through activities catering to a range of interests and abilities. Initial taster courses mobilise new learners and provide the confidence and experience to progress to advanced accredited courses. The advanced courses are tailored towards developing concrete knowledge and expertise in an area of the green labour market.</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b/>
          <w:color w:val="auto"/>
          <w:sz w:val="22"/>
          <w:szCs w:val="22"/>
          <w:lang w:eastAsia="en-US"/>
        </w:rPr>
        <w:t>Leys News – Community Learning &amp; Training</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 xml:space="preserve">Working with Thames Valley Community Rehabilitation Company and the Ley Community Drug &amp; Alcohol Rehabilitation, their project provides training for two distinct groups of vulnerable adults, ex-offenders and people recovering from drug abuse. The course incorporates personal development planning (PDP) and community journalism elements, to support, guide and direct participants into further education and employment. </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The PDP element of the course allows for reflective thinking and personal development planning, while journalism provides a practical vehicle for involving trainees in a community based project and provide skills in writing, research and photography as well as improved literacy and communication skills. Trainees build up a solid portfolio of work which will help in their career development, help reduce the incidence of re-offending and provide opportunities for ongoing volunteering in both print and online media services.</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b/>
          <w:color w:val="auto"/>
          <w:sz w:val="22"/>
          <w:szCs w:val="22"/>
          <w:lang w:eastAsia="en-US"/>
        </w:rPr>
        <w:t>Oxfordshire Play Association – Get Qualified</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 xml:space="preserve">OPA are delivering accredited </w:t>
      </w:r>
      <w:proofErr w:type="spellStart"/>
      <w:r w:rsidRPr="0055141C">
        <w:rPr>
          <w:rFonts w:eastAsiaTheme="minorHAnsi" w:cs="Arial"/>
          <w:color w:val="auto"/>
          <w:sz w:val="22"/>
          <w:szCs w:val="22"/>
          <w:lang w:eastAsia="en-US"/>
        </w:rPr>
        <w:t>Playwork</w:t>
      </w:r>
      <w:proofErr w:type="spellEnd"/>
      <w:r w:rsidRPr="0055141C">
        <w:rPr>
          <w:rFonts w:eastAsiaTheme="minorHAnsi" w:cs="Arial"/>
          <w:color w:val="auto"/>
          <w:sz w:val="22"/>
          <w:szCs w:val="22"/>
          <w:lang w:eastAsia="en-US"/>
        </w:rPr>
        <w:t xml:space="preserve"> qualification, the QCF Level 2 Diploma in </w:t>
      </w:r>
      <w:proofErr w:type="spellStart"/>
      <w:r w:rsidRPr="0055141C">
        <w:rPr>
          <w:rFonts w:eastAsiaTheme="minorHAnsi" w:cs="Arial"/>
          <w:color w:val="auto"/>
          <w:sz w:val="22"/>
          <w:szCs w:val="22"/>
          <w:lang w:eastAsia="en-US"/>
        </w:rPr>
        <w:t>Playwork</w:t>
      </w:r>
      <w:proofErr w:type="spellEnd"/>
      <w:r w:rsidRPr="0055141C">
        <w:rPr>
          <w:rFonts w:eastAsiaTheme="minorHAnsi" w:cs="Arial"/>
          <w:color w:val="auto"/>
          <w:sz w:val="22"/>
          <w:szCs w:val="22"/>
          <w:lang w:eastAsia="en-US"/>
        </w:rPr>
        <w:t xml:space="preserve">, to 2 cohorts of 10 learners (total of 20 learners). They are working with people over the age of 50, Work Programme Returners, and long term unemployed or people in a cycle of </w:t>
      </w:r>
      <w:proofErr w:type="gramStart"/>
      <w:r w:rsidRPr="0055141C">
        <w:rPr>
          <w:rFonts w:eastAsiaTheme="minorHAnsi" w:cs="Arial"/>
          <w:color w:val="auto"/>
          <w:sz w:val="22"/>
          <w:szCs w:val="22"/>
          <w:lang w:eastAsia="en-US"/>
        </w:rPr>
        <w:t>temporary ,</w:t>
      </w:r>
      <w:proofErr w:type="gramEnd"/>
      <w:r w:rsidRPr="0055141C">
        <w:rPr>
          <w:rFonts w:eastAsiaTheme="minorHAnsi" w:cs="Arial"/>
          <w:color w:val="auto"/>
          <w:sz w:val="22"/>
          <w:szCs w:val="22"/>
          <w:lang w:eastAsia="en-US"/>
        </w:rPr>
        <w:t xml:space="preserve"> low skilled employment.</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 xml:space="preserve">The QCF Level 2 Diploma in </w:t>
      </w:r>
      <w:proofErr w:type="spellStart"/>
      <w:r w:rsidRPr="0055141C">
        <w:rPr>
          <w:rFonts w:eastAsiaTheme="minorHAnsi" w:cs="Arial"/>
          <w:color w:val="auto"/>
          <w:sz w:val="22"/>
          <w:szCs w:val="22"/>
          <w:lang w:eastAsia="en-US"/>
        </w:rPr>
        <w:t>Playwork</w:t>
      </w:r>
      <w:proofErr w:type="spellEnd"/>
      <w:r w:rsidRPr="0055141C">
        <w:rPr>
          <w:rFonts w:eastAsiaTheme="minorHAnsi" w:cs="Arial"/>
          <w:color w:val="auto"/>
          <w:sz w:val="22"/>
          <w:szCs w:val="22"/>
          <w:lang w:eastAsia="en-US"/>
        </w:rPr>
        <w:t xml:space="preserve"> will qualify learners to work as a </w:t>
      </w:r>
      <w:proofErr w:type="spellStart"/>
      <w:r w:rsidRPr="0055141C">
        <w:rPr>
          <w:rFonts w:eastAsiaTheme="minorHAnsi" w:cs="Arial"/>
          <w:color w:val="auto"/>
          <w:sz w:val="22"/>
          <w:szCs w:val="22"/>
          <w:lang w:eastAsia="en-US"/>
        </w:rPr>
        <w:t>Playworker</w:t>
      </w:r>
      <w:proofErr w:type="spellEnd"/>
      <w:r w:rsidRPr="0055141C">
        <w:rPr>
          <w:rFonts w:eastAsiaTheme="minorHAnsi" w:cs="Arial"/>
          <w:color w:val="auto"/>
          <w:sz w:val="22"/>
          <w:szCs w:val="22"/>
          <w:lang w:eastAsia="en-US"/>
        </w:rPr>
        <w:t xml:space="preserve"> in a wide range of roles including After School Clubs, Breakfast Clubs, Adventure Playgrounds, Soft Play Areas, Family / Children Centres, Holiday Play Schemes and Hospitals and Junior Youth Clubs.</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b/>
          <w:color w:val="auto"/>
          <w:sz w:val="22"/>
          <w:szCs w:val="22"/>
          <w:lang w:eastAsia="en-US"/>
        </w:rPr>
        <w:t>South Oxfordshire Housing Association &amp; Employment action Group (</w:t>
      </w:r>
      <w:proofErr w:type="spellStart"/>
      <w:r w:rsidRPr="0055141C">
        <w:rPr>
          <w:rFonts w:eastAsiaTheme="minorHAnsi" w:cs="Arial"/>
          <w:b/>
          <w:color w:val="auto"/>
          <w:sz w:val="22"/>
          <w:szCs w:val="22"/>
          <w:lang w:eastAsia="en-US"/>
        </w:rPr>
        <w:t>Berinsfield</w:t>
      </w:r>
      <w:proofErr w:type="spellEnd"/>
      <w:r w:rsidRPr="0055141C">
        <w:rPr>
          <w:rFonts w:eastAsiaTheme="minorHAnsi" w:cs="Arial"/>
          <w:b/>
          <w:color w:val="auto"/>
          <w:sz w:val="22"/>
          <w:szCs w:val="22"/>
          <w:lang w:eastAsia="en-US"/>
        </w:rPr>
        <w:t>) – Launchpad</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 xml:space="preserve">Launchpad is an employment mentoring and training project. It will support residents with upskilling (training &amp; gaining qualifications), progressing towards employment or better employment and coping with budgetary constraints. This includes 1:1 Employment support, </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 xml:space="preserve">Digital </w:t>
      </w:r>
      <w:proofErr w:type="gramStart"/>
      <w:r w:rsidRPr="0055141C">
        <w:rPr>
          <w:rFonts w:eastAsiaTheme="minorHAnsi" w:cs="Arial"/>
          <w:color w:val="auto"/>
          <w:sz w:val="22"/>
          <w:szCs w:val="22"/>
          <w:lang w:eastAsia="en-US"/>
        </w:rPr>
        <w:t>Inclusion,</w:t>
      </w:r>
      <w:proofErr w:type="gramEnd"/>
      <w:r w:rsidRPr="0055141C">
        <w:rPr>
          <w:rFonts w:eastAsiaTheme="minorHAnsi" w:cs="Arial"/>
          <w:color w:val="auto"/>
          <w:sz w:val="22"/>
          <w:szCs w:val="22"/>
          <w:lang w:eastAsia="en-US"/>
        </w:rPr>
        <w:t xml:space="preserve"> and Training which is tailored to the participants’ needs.</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b/>
          <w:color w:val="auto"/>
          <w:sz w:val="22"/>
          <w:szCs w:val="22"/>
          <w:lang w:eastAsia="en-US"/>
        </w:rPr>
        <w:t>Start Up – Breaking the Cycle 2</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 xml:space="preserve">Start Up works with and represents disadvantaged women, primarily ex-offenders and those under 25 who are vulnerably housed in urban centres in Oxfordshire. Their project delivered life skills coaching, and, training to improve employability potential, underpinned by peer mentoring from </w:t>
      </w:r>
      <w:proofErr w:type="spellStart"/>
      <w:r w:rsidRPr="0055141C">
        <w:rPr>
          <w:rFonts w:eastAsiaTheme="minorHAnsi" w:cs="Arial"/>
          <w:color w:val="auto"/>
          <w:sz w:val="22"/>
          <w:szCs w:val="22"/>
          <w:lang w:eastAsia="en-US"/>
        </w:rPr>
        <w:t>Startup</w:t>
      </w:r>
      <w:proofErr w:type="spellEnd"/>
      <w:r w:rsidRPr="0055141C">
        <w:rPr>
          <w:rFonts w:eastAsiaTheme="minorHAnsi" w:cs="Arial"/>
          <w:color w:val="auto"/>
          <w:sz w:val="22"/>
          <w:szCs w:val="22"/>
          <w:lang w:eastAsia="en-US"/>
        </w:rPr>
        <w:t xml:space="preserve"> beneficiaries who share their own experiences in turning their lives around. By mutual consent, this project was terminated early due to the incompatibility of Start Up’s operating model, with the requirements of ESF funding.</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b/>
          <w:color w:val="auto"/>
          <w:sz w:val="22"/>
          <w:szCs w:val="22"/>
          <w:lang w:eastAsia="en-US"/>
        </w:rPr>
        <w:t xml:space="preserve">The Porch – </w:t>
      </w:r>
      <w:proofErr w:type="spellStart"/>
      <w:r w:rsidRPr="0055141C">
        <w:rPr>
          <w:rFonts w:eastAsiaTheme="minorHAnsi" w:cs="Arial"/>
          <w:b/>
          <w:color w:val="auto"/>
          <w:sz w:val="22"/>
          <w:szCs w:val="22"/>
          <w:lang w:eastAsia="en-US"/>
        </w:rPr>
        <w:t>Steppin</w:t>
      </w:r>
      <w:proofErr w:type="spellEnd"/>
      <w:r w:rsidRPr="0055141C">
        <w:rPr>
          <w:rFonts w:eastAsiaTheme="minorHAnsi" w:cs="Arial"/>
          <w:b/>
          <w:color w:val="auto"/>
          <w:sz w:val="22"/>
          <w:szCs w:val="22"/>
          <w:lang w:eastAsia="en-US"/>
        </w:rPr>
        <w:t>’ Forward</w:t>
      </w: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color w:val="auto"/>
          <w:sz w:val="22"/>
          <w:szCs w:val="22"/>
          <w:lang w:eastAsia="en-US"/>
        </w:rPr>
        <w:t xml:space="preserve">This project provides vocational skills training alongside personal development support to homeless or vulnerably housed people with enduring or complex needs that require considerable support. This will help them to develop job related skills that will give them a </w:t>
      </w:r>
      <w:r w:rsidRPr="0055141C">
        <w:rPr>
          <w:rFonts w:eastAsiaTheme="minorHAnsi" w:cs="Arial"/>
          <w:color w:val="auto"/>
          <w:sz w:val="22"/>
          <w:szCs w:val="22"/>
          <w:lang w:eastAsia="en-US"/>
        </w:rPr>
        <w:lastRenderedPageBreak/>
        <w:t xml:space="preserve">realistic opportunity to find part-time work or engage in a positive volunteering role, as the next step in moving towards the labour market. </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Participants are assessed by project workers and sign up to develop their employability skills by enrolling in a vocational training programme run by mentors with experience of working with the client group. Training options comprise either an IT course lasting 6 weeks (each class will be 2 hours long) or kitchen catering training (choice of café food preparation, preserve/chutney making, or kitchen cleaning/hygiene).</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b/>
          <w:color w:val="auto"/>
          <w:sz w:val="22"/>
          <w:szCs w:val="22"/>
          <w:lang w:eastAsia="en-US"/>
        </w:rPr>
      </w:pPr>
      <w:r w:rsidRPr="0055141C">
        <w:rPr>
          <w:rFonts w:eastAsiaTheme="minorHAnsi" w:cs="Arial"/>
          <w:b/>
          <w:color w:val="auto"/>
          <w:sz w:val="22"/>
          <w:szCs w:val="22"/>
          <w:lang w:eastAsia="en-US"/>
        </w:rPr>
        <w:t>Yellow Submarine and Friends of Hill End – Can Do</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 xml:space="preserve">A formal training and work experience programme has been created at Hill End Centre, suitable for a broad spectrum of service users, including those who are affected by chronic ill health, anxiety and depression. Its 185 bed residential facility is used to run a training programme to teach the skills needed in a hotel for the cleaning and presentation of bedrooms. This will target local employers, such as University colleges who have appropriate vacancies when their sites are used as B&amp;B style facilities out-of-term time. </w:t>
      </w:r>
    </w:p>
    <w:p w:rsidR="00AE0A5B" w:rsidRPr="0055141C" w:rsidRDefault="00AE0A5B" w:rsidP="00AE0A5B">
      <w:pPr>
        <w:spacing w:after="0"/>
        <w:rPr>
          <w:rFonts w:eastAsiaTheme="minorHAnsi" w:cs="Arial"/>
          <w:color w:val="auto"/>
          <w:sz w:val="22"/>
          <w:szCs w:val="22"/>
          <w:lang w:eastAsia="en-US"/>
        </w:rPr>
      </w:pPr>
      <w:r w:rsidRPr="0055141C">
        <w:rPr>
          <w:rFonts w:eastAsiaTheme="minorHAnsi" w:cs="Arial"/>
          <w:color w:val="auto"/>
          <w:sz w:val="22"/>
          <w:szCs w:val="22"/>
          <w:lang w:eastAsia="en-US"/>
        </w:rPr>
        <w:t>The project makes use of the Hill End site grounds, and skilled staff, to deliver training and work experience in horticulture and landscaping. Yellow Submarine supports the creation of retail and catering training opportunities on the site via a pop-up café and shop to coincide with big public-facing event days.</w:t>
      </w: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0"/>
        <w:rPr>
          <w:rFonts w:eastAsiaTheme="minorHAnsi" w:cs="Arial"/>
          <w:color w:val="auto"/>
          <w:sz w:val="22"/>
          <w:szCs w:val="22"/>
          <w:lang w:eastAsia="en-US"/>
        </w:rPr>
      </w:pPr>
    </w:p>
    <w:p w:rsidR="00AE0A5B" w:rsidRPr="0055141C" w:rsidRDefault="00AE0A5B" w:rsidP="00AE0A5B">
      <w:pPr>
        <w:spacing w:after="200" w:line="276" w:lineRule="auto"/>
        <w:rPr>
          <w:rFonts w:eastAsiaTheme="minorHAnsi" w:cs="Arial"/>
          <w:color w:val="auto"/>
          <w:sz w:val="22"/>
          <w:szCs w:val="22"/>
          <w:lang w:eastAsia="en-US"/>
        </w:rPr>
      </w:pPr>
      <w:r w:rsidRPr="0055141C">
        <w:rPr>
          <w:rFonts w:eastAsiaTheme="minorHAnsi" w:cs="Arial"/>
          <w:color w:val="auto"/>
          <w:sz w:val="22"/>
          <w:szCs w:val="22"/>
          <w:lang w:eastAsia="en-US"/>
        </w:rPr>
        <w:br w:type="page"/>
      </w:r>
    </w:p>
    <w:p w:rsidR="008A22C6" w:rsidRPr="008A22C6" w:rsidRDefault="008A22C6" w:rsidP="008A22C6">
      <w:bookmarkStart w:id="0" w:name="_GoBack"/>
      <w:bookmarkEnd w:id="0"/>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1AC9"/>
    <w:multiLevelType w:val="hybridMultilevel"/>
    <w:tmpl w:val="930C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5B"/>
    <w:rsid w:val="000B4310"/>
    <w:rsid w:val="004000D7"/>
    <w:rsid w:val="00504E43"/>
    <w:rsid w:val="007908F4"/>
    <w:rsid w:val="008A22C6"/>
    <w:rsid w:val="00AE0A5B"/>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5B"/>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A5B"/>
    <w:rPr>
      <w:rFonts w:ascii="Tahoma" w:eastAsia="Times New Roman"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5B"/>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A5B"/>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64C2-76F1-4FD2-A60E-C9C4135A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4E17D3C0</Template>
  <TotalTime>0</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2018-03-14T11:48:00Z</dcterms:created>
  <dcterms:modified xsi:type="dcterms:W3CDTF">2018-03-14T11:48:00Z</dcterms:modified>
</cp:coreProperties>
</file>